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汗青堂  东西方制度的差异  共2册</w:t>
      </w:r>
    </w:p>
    <w:p>
      <w:r>
        <w:rPr>
          <w:rFonts w:ascii="宋体" w:hAnsi="宋体" w:eastAsia="宋体"/>
          <w:sz w:val="24"/>
        </w:rPr>
        <w:t>宋怡明,钟逸明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汗青堂  东西方制度的差异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宋怡明,钟逸明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本书出售、求购地址：https://www.jiaokey.com/book/detail/96380946.html</w:t>
      </w:r>
    </w:p>
    <w:p>
      <w:r>
        <w:t>更多相关图书推荐：https://www.jiaokey.com</w:t>
      </w:r>
    </w:p>
    <w:p>
      <w:r>
        <w:t>宋怡明,钟逸明 其他作品：https://www.jiaokey.com/tag/宋怡明,钟逸明.html</w:t>
      </w:r>
    </w:p>
    <w:p>
      <w:r>
        <w:t>后浪出版公司 出版图书：https://www.jiaokey.com/tag/后浪出版公司.html</w:t>
      </w:r>
    </w:p>
    <w:p>
      <w:r>
        <w:t>关键词搜索：https://www.jiaokey.com/tag/汗青堂  东西方制度的差异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