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亚瑟王之死</w:t>
      </w:r>
    </w:p>
    <w:p>
      <w:r>
        <w:rPr>
          <w:rFonts w:ascii="宋体" w:hAnsi="宋体" w:eastAsia="宋体"/>
          <w:sz w:val="24"/>
        </w:rPr>
        <w:t>托马斯·马洛礼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亚瑟王之死</w:t>
            </w:r>
          </w:p>
        </w:tc>
      </w:tr>
      <w:tr>
        <w:tc>
          <w:tcPr>
            <w:tcW w:type="dxa" w:w="4320"/>
          </w:tcPr>
          <w:p>
            <w:r>
              <w:t>作者</w:t>
            </w:r>
          </w:p>
        </w:tc>
        <w:tc>
          <w:tcPr>
            <w:tcW w:type="dxa" w:w="4320"/>
          </w:tcPr>
          <w:p>
            <w:r>
              <w:t>托马斯·马洛礼</w:t>
            </w:r>
          </w:p>
        </w:tc>
      </w:tr>
      <w:tr>
        <w:tc>
          <w:tcPr>
            <w:tcW w:type="dxa" w:w="4320"/>
          </w:tcPr>
          <w:p>
            <w:r>
              <w:t>出版社</w:t>
            </w:r>
          </w:p>
        </w:tc>
        <w:tc>
          <w:tcPr>
            <w:tcW w:type="dxa" w:w="4320"/>
          </w:tcPr>
          <w:p>
            <w:r/>
          </w:p>
        </w:tc>
      </w:tr>
      <w:tr>
        <w:tc>
          <w:tcPr>
            <w:tcW w:type="dxa" w:w="4320"/>
          </w:tcPr>
          <w:p>
            <w:r>
              <w:t>ISBN</w:t>
            </w:r>
          </w:p>
        </w:tc>
        <w:tc>
          <w:tcPr>
            <w:tcW w:type="dxa" w:w="4320"/>
          </w:tcPr>
          <w:p>
            <w:r/>
          </w:p>
        </w:tc>
      </w:tr>
      <w:tr>
        <w:tc>
          <w:tcPr>
            <w:tcW w:type="dxa" w:w="4320"/>
          </w:tcPr>
          <w:p>
            <w:r>
              <w:t>出版日期</w:t>
            </w:r>
          </w:p>
        </w:tc>
        <w:tc>
          <w:tcPr>
            <w:tcW w:type="dxa" w:w="4320"/>
          </w:tcPr>
          <w:p>
            <w:r/>
          </w:p>
        </w:tc>
      </w:tr>
      <w:tr>
        <w:tc>
          <w:tcPr>
            <w:tcW w:type="dxa" w:w="4320"/>
          </w:tcPr>
          <w:p>
            <w:r>
              <w:t>页数</w:t>
            </w:r>
          </w:p>
        </w:tc>
        <w:tc>
          <w:tcPr>
            <w:tcW w:type="dxa" w:w="4320"/>
          </w:tcPr>
          <w:p>
            <w:r>
              <w:t>767</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t>欧洲文学</w:t>
            </w:r>
          </w:p>
        </w:tc>
      </w:tr>
    </w:tbl>
    <w:p/>
    <w:p>
      <w:pPr>
        <w:pStyle w:val="Heading1"/>
      </w:pPr>
      <w:r>
        <w:t>图书介绍</w:t>
      </w:r>
    </w:p>
    <w:p>
      <w:r>
        <w:t>本丛书选取世界各国各语种最具经典性和代表性的文学名著（如《傲慢与偏见》《双城记》《老人与海》等），同时选择翻译质量最好且获得社会各界和学术界共同认可的译者译本（如朱生豪、张谷若、吴钧燮、郑振铎、曹明伦等），兼顾学术的系统性、文学史的全面均衡和适应当代读者的可读性。本丛书为开放丛书，第一辑计划出版约60中，此后积累延续出版。《亚瑟王之死》（LeMorteDarthur）是欧洲骑士文学中的一朵奇葩，其内容在西方流传之广仅次于《圣经》和莎士比亚作品。它讲述了著名的不列颠国王亚瑟及其圆桌骑士的传奇故事和追寻圣杯的英雄壮举。字里行间充满了冒险、传奇、各种奇迹和精彩的打斗场面。最令人爱不释手的是骑士与贵妇人之间惊世骇俗的爱情描写。《亚瑟王之死》影响了厚实的很多佳作，并成为好莱坞大片《亚瑟王》的经典蓝本，电影后面的种种故事细节、那些转瞬即逝的精彩镜头都能在这部作品中找到源头。天才画家比亚兹莱为此书专门做了插图，此插图也成为了艺术经典。</w:t>
      </w:r>
    </w:p>
    <w:p/>
    <w:p>
      <w:r>
        <w:t>本书出售、求购地址：https://www.jiaokey.com/book/detail/96348802.html</w:t>
      </w:r>
    </w:p>
    <w:p>
      <w:r>
        <w:t>更多欧洲文学图书推荐：https://www.jiaokey.com</w:t>
      </w:r>
    </w:p>
    <w:p>
      <w:r>
        <w:t>托马斯·马洛礼 其他作品：https://www.jiaokey.com/tag/托马斯·马洛礼.html</w:t>
      </w:r>
    </w:p>
    <w:p>
      <w:r>
        <w:t>关键词搜索：https://www.jiaokey.com/tag/亚瑟王之死.html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