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国家出资人代表制度研究</w:t>
      </w:r>
    </w:p>
    <w:p>
      <w:r>
        <w:rPr>
          <w:rFonts w:ascii="宋体" w:hAnsi="宋体" w:eastAsia="宋体"/>
          <w:sz w:val="24"/>
        </w:rPr>
        <w:t>蒋科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国家出资人代表制度研究</w:t>
            </w:r>
          </w:p>
        </w:tc>
      </w:tr>
      <w:tr>
        <w:tc>
          <w:tcPr>
            <w:tcW w:type="dxa" w:w="4320"/>
          </w:tcPr>
          <w:p>
            <w:r>
              <w:t>作者</w:t>
            </w:r>
          </w:p>
        </w:tc>
        <w:tc>
          <w:tcPr>
            <w:tcW w:type="dxa" w:w="4320"/>
          </w:tcPr>
          <w:p>
            <w:r>
              <w:t>蒋科</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9787519202934</w:t>
            </w:r>
          </w:p>
        </w:tc>
      </w:tr>
      <w:tr>
        <w:tc>
          <w:tcPr>
            <w:tcW w:type="dxa" w:w="4320"/>
          </w:tcPr>
          <w:p>
            <w:r>
              <w:t>出版日期</w:t>
            </w:r>
          </w:p>
        </w:tc>
        <w:tc>
          <w:tcPr>
            <w:tcW w:type="dxa" w:w="4320"/>
          </w:tcPr>
          <w:p>
            <w:r>
              <w:t>2015-11-01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t>国有资产管理体制-研究-中国</w:t>
            </w:r>
          </w:p>
        </w:tc>
      </w:tr>
      <w:tr>
        <w:tc>
          <w:tcPr>
            <w:tcW w:type="dxa" w:w="4320"/>
          </w:tcPr>
          <w:p>
            <w:r>
              <w:t>分类</w:t>
            </w:r>
          </w:p>
        </w:tc>
        <w:tc>
          <w:tcPr>
            <w:tcW w:type="dxa" w:w="4320"/>
          </w:tcPr>
          <w:p>
            <w:r>
              <w:t>国民经济计划及其管理</w:t>
            </w:r>
          </w:p>
        </w:tc>
      </w:tr>
    </w:tbl>
    <w:p/>
    <w:p>
      <w:pPr>
        <w:pStyle w:val="Heading1"/>
      </w:pPr>
      <w:r>
        <w:t>图书介绍</w:t>
      </w:r>
    </w:p>
    <w:p>
      <w:r>
        <w:t>本书从分析企业国有资产的性质与功能出发，研究在我国建立国家出资人代表制度的理论依据及现实意义，并对其基本内涵、特征与类型进行界定，进而基于该双重法律地位对其具体法律制度进行公私法上的平衡构建，以期在我国建立有效的国家出资人代表制度，防止国资流失并实现国家既定的政策目标。</w:t>
      </w:r>
    </w:p>
    <w:p/>
    <w:p>
      <w:r>
        <w:t>本书出售、求购地址：https://www.jiaokey.com/book/detail/96286337.html</w:t>
      </w:r>
    </w:p>
    <w:p>
      <w:r>
        <w:t>更多国民经济计划及其管理图书推荐：https://www.jiaokey.com</w:t>
      </w:r>
    </w:p>
    <w:p>
      <w:r>
        <w:t>蒋科 其他作品：https://www.jiaokey.com/tag/蒋科.html</w:t>
      </w:r>
    </w:p>
    <w:p>
      <w:r>
        <w:t>世界图书出版广东有限公司 出版图书：https://www.jiaokey.com/tag/世界图书出版广东有限公司.html</w:t>
      </w:r>
    </w:p>
    <w:p>
      <w:r>
        <w:t>关键词搜索：https://www.jiaokey.com/tag/国有资产管理体制-研究-中国.html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