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早产儿疾病诊治手册</w:t>
      </w:r>
    </w:p>
    <w:p>
      <w:r>
        <w:rPr>
          <w:rFonts w:ascii="宋体" w:hAnsi="宋体" w:eastAsia="宋体"/>
          <w:sz w:val="24"/>
        </w:rPr>
        <w:t>杜琨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早产儿疾病诊治手册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9787558719042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早产儿疾病-诊疗-手册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早产儿疾病</w:t>
            </w:r>
          </w:p>
        </w:tc>
      </w:tr>
    </w:tbl>
    <w:p/>
    <w:p>
      <w:pPr>
        <w:pStyle w:val="Heading1"/>
      </w:pPr>
      <w:r>
        <w:t>图书介绍</w:t>
      </w:r>
    </w:p>
    <w:p>
      <w:r>
        <w:t>近年来，早产儿的发生率逐年增加。早产儿由于各器官发育不成熟，出生后面临许多临床问题，是导致伤残儿童的高危人群，早产儿的救治水平体现着新生儿重症监护水平。目前我国早产儿的存活率已明显增加，体现了早产儿救治水平的不断提高。我省由于经济水平相对落后，新生儿学科的发展也相对滞后。近年来随着各级医院新生儿病房的建立，新生儿学科已得到了较快的发展，但是与发达地区相比仍存在巨大差距，且各地的发展不平衡。早产儿是新生儿重症监护病房的管理的重点和难点。本书参阅了较多的参考资料，分十三章对早产儿疾病做了系统阐述，并</w:t>
      </w:r>
    </w:p>
    <w:p/>
    <w:p>
      <w:r>
        <w:t>本书出售、求购地址：https://www.jiaokey.com/book/detail/96278048.html</w:t>
      </w:r>
    </w:p>
    <w:p>
      <w:r>
        <w:t>更多早产儿疾病图书推荐：https://www.jiaokey.com</w:t>
      </w:r>
    </w:p>
    <w:p>
      <w:r>
        <w:t>杜琨 其他作品：https://www.jiaokey.com/tag/杜琨.html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关键词搜索：https://www.jiaokey.com/tag/早产儿疾病-诊疗-手册.html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