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课程资源库  逻辑与伦理·良心论  下</w:t>
      </w:r>
    </w:p>
    <w:p>
      <w:r>
        <w:rPr>
          <w:rFonts w:ascii="宋体" w:hAnsi="宋体" w:eastAsia="宋体"/>
          <w:sz w:val="24"/>
        </w:rPr>
        <w:t>邹时炎,国家新课程教学策略研究组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课程资源库  逻辑与伦理·良心论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邹时炎,国家新课程教学策略研究组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本书出售、求购地址：https://www.jiaokey.com/book/detail/96273133.html</w:t>
      </w:r>
    </w:p>
    <w:p>
      <w:r>
        <w:t>更多教学理论、教学法图书推荐：https://www.jiaokey.com</w:t>
      </w:r>
    </w:p>
    <w:p>
      <w:r>
        <w:t>邹时炎,国家新课程教学策略研究组 其他作品：https://www.jiaokey.com/tag/邹时炎,国家新课程教学策略研究组.html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