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徐堪文集</w:t>
      </w:r>
    </w:p>
    <w:p>
      <w:r>
        <w:rPr>
          <w:rFonts w:ascii="宋体" w:hAnsi="宋体" w:eastAsia="宋体"/>
          <w:sz w:val="24"/>
        </w:rPr>
        <w:t>戴建兵,申彦广 著 · 教客网电子书</w:t>
      </w:r>
    </w:p>
    <w:p>
      <w:r>
        <w:t>找书就上教客网 —— www.jiaokey.com</w:t>
      </w:r>
    </w:p>
    <w:p/>
    <w:p>
      <w:r>
        <w:drawing>
          <wp:inline xmlns:a="http://schemas.openxmlformats.org/drawingml/2006/main" xmlns:pic="http://schemas.openxmlformats.org/drawingml/2006/picture">
            <wp:extent cx="2743200" cy="3867912"/>
            <wp:docPr id="1" name="Picture 1"/>
            <wp:cNvGraphicFramePr>
              <a:graphicFrameLocks noChangeAspect="1"/>
            </wp:cNvGraphicFramePr>
            <a:graphic>
              <a:graphicData uri="http://schemas.openxmlformats.org/drawingml/2006/picture">
                <pic:pic>
                  <pic:nvPicPr>
                    <pic:cNvPr id="0" name="96264071.jpg"/>
                    <pic:cNvPicPr/>
                  </pic:nvPicPr>
                  <pic:blipFill>
                    <a:blip r:embed="rId9"/>
                    <a:stretch>
                      <a:fillRect/>
                    </a:stretch>
                  </pic:blipFill>
                  <pic:spPr>
                    <a:xfrm>
                      <a:off x="0" y="0"/>
                      <a:ext cx="2743200" cy="386791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徐堪文集</w:t>
            </w:r>
          </w:p>
        </w:tc>
      </w:tr>
      <w:tr>
        <w:tc>
          <w:tcPr>
            <w:tcW w:type="dxa" w:w="4320"/>
          </w:tcPr>
          <w:p>
            <w:r>
              <w:t>作者</w:t>
            </w:r>
          </w:p>
        </w:tc>
        <w:tc>
          <w:tcPr>
            <w:tcW w:type="dxa" w:w="4320"/>
          </w:tcPr>
          <w:p>
            <w:r>
              <w:t>戴建兵,申彦广</w:t>
            </w:r>
          </w:p>
        </w:tc>
      </w:tr>
      <w:tr>
        <w:tc>
          <w:tcPr>
            <w:tcW w:type="dxa" w:w="4320"/>
          </w:tcPr>
          <w:p>
            <w:r>
              <w:t>出版社</w:t>
            </w:r>
          </w:p>
        </w:tc>
        <w:tc>
          <w:tcPr>
            <w:tcW w:type="dxa" w:w="4320"/>
          </w:tcPr>
          <w:p>
            <w:r>
              <w:t>石家庄：河北人民出版社</w:t>
            </w:r>
          </w:p>
        </w:tc>
      </w:tr>
      <w:tr>
        <w:tc>
          <w:tcPr>
            <w:tcW w:type="dxa" w:w="4320"/>
          </w:tcPr>
          <w:p>
            <w:r>
              <w:t>ISBN</w:t>
            </w:r>
          </w:p>
        </w:tc>
        <w:tc>
          <w:tcPr>
            <w:tcW w:type="dxa" w:w="4320"/>
          </w:tcPr>
          <w:p>
            <w:r>
              <w:t>9787202142936</w:t>
            </w:r>
          </w:p>
        </w:tc>
      </w:tr>
      <w:tr>
        <w:tc>
          <w:tcPr>
            <w:tcW w:type="dxa" w:w="4320"/>
          </w:tcPr>
          <w:p>
            <w:r>
              <w:t>出版日期</w:t>
            </w:r>
          </w:p>
        </w:tc>
        <w:tc>
          <w:tcPr>
            <w:tcW w:type="dxa" w:w="4320"/>
          </w:tcPr>
          <w:p>
            <w:r>
              <w:t>2019-10-01</w:t>
            </w:r>
          </w:p>
        </w:tc>
      </w:tr>
      <w:tr>
        <w:tc>
          <w:tcPr>
            <w:tcW w:type="dxa" w:w="4320"/>
          </w:tcPr>
          <w:p>
            <w:r>
              <w:t>页数</w:t>
            </w:r>
          </w:p>
        </w:tc>
        <w:tc>
          <w:tcPr>
            <w:tcW w:type="dxa" w:w="4320"/>
          </w:tcPr>
          <w:p>
            <w:r>
              <w:t>490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中国货币</w:t>
            </w:r>
          </w:p>
        </w:tc>
      </w:tr>
    </w:tbl>
    <w:p/>
    <w:p>
      <w:pPr>
        <w:pStyle w:val="Heading1"/>
      </w:pPr>
      <w:r>
        <w:t>图书介绍</w:t>
      </w:r>
    </w:p>
    <w:p>
      <w:r>
        <w:t>学术界对近代中国货币金融和钱币学的研究近年来取得了丰硕的成果。但对国民党执政时期，尤其是对像徐堪这样的当时的财政“操盘手”的研究，无论是资料还是分析方面，还显薄弱。而以财政金融技术性官员个体或群体为出发点的研究，可以探讨当时财政政策出台的前因、后果及作用影响，不失为推进和深化货币金融史研究的一个途径。为此，河北师范大学党委书记、博士生导师戴建兵牵头组织编写了这本《徐堪文集》。本书是一部以徐堪为中心的档案史料集，所选材料包括已刊和未刊材料。在编排过程中，已刊资料以时间为序，使本书在形式上更加协调和统一。未刊档案多为书信、电报、签呈等收发文电、稿件，此类档案具有隐秘性和真实性，能反映出徐堪当时的心理发展过程和幕后历史，具有一定的史料价值。</w:t>
      </w:r>
    </w:p>
    <w:p/>
    <w:p>
      <w:r>
        <w:t>本书出售、求购地址：https://www.jiaokey.com/book/detail/96264071.html</w:t>
      </w:r>
    </w:p>
    <w:p>
      <w:r>
        <w:t>更多中国货币图书推荐：https://www.jiaokey.com</w:t>
      </w:r>
    </w:p>
    <w:p>
      <w:r>
        <w:t>戴建兵,申彦广 其他作品：https://www.jiaokey.com/tag/戴建兵,申彦广.html</w:t>
      </w:r>
    </w:p>
    <w:p>
      <w:r>
        <w:t>石家庄：河北人民出版社 出版图书：https://www.jiaokey.com/tag/石家庄：河北人民出版社.html</w:t>
      </w:r>
    </w:p>
    <w:p>
      <w:r>
        <w:t>关键词搜索：https://www.jiaokey.com/tag/徐堪文集.html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