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  如何成为高情商沟通者</w:t>
      </w:r>
    </w:p>
    <w:p>
      <w:r>
        <w:rPr>
          <w:rFonts w:ascii="宋体" w:hAnsi="宋体" w:eastAsia="宋体"/>
          <w:sz w:val="24"/>
        </w:rPr>
        <w:t>时辰著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  如何成为高情商沟通者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北京斯坦威图书有限责任公司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本书出售、求购地址：https://www.jiaokey.com/book/detail/96252499.html</w:t>
      </w:r>
    </w:p>
    <w:p>
      <w:r>
        <w:t>更多相关图书推荐：https://www.jiaokey.com</w:t>
      </w:r>
    </w:p>
    <w:p>
      <w:r>
        <w:t>时辰著 其他作品：https://www.jiaokey.com/tag/时辰著.html</w:t>
      </w:r>
    </w:p>
    <w:p>
      <w:r>
        <w:t>北京斯坦威图书有限责任公司 出版图书：https://www.jiaokey.com/tag/北京斯坦威图书有限责任公司.html</w:t>
      </w:r>
    </w:p>
    <w:p>
      <w:r>
        <w:t>关键词搜索：https://www.jiaokey.com/tag/沟通的力量  如何成为高情商沟通者.html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