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屠格涅夫经典</w:t>
      </w:r>
    </w:p>
    <w:p>
      <w:r>
        <w:rPr>
          <w:rFonts w:ascii="宋体" w:hAnsi="宋体" w:eastAsia="宋体"/>
          <w:sz w:val="24"/>
        </w:rPr>
        <w:t>俄罗斯,屠格涅夫 著 · 教客网电子书</w:t>
      </w:r>
    </w:p>
    <w:p>
      <w:r>
        <w:t>找书就上教客网 —— www.jiaokey.com</w:t>
      </w:r>
    </w:p>
    <w:p/>
    <w:p>
      <w:r>
        <w:drawing>
          <wp:inline xmlns:a="http://schemas.openxmlformats.org/drawingml/2006/main" xmlns:pic="http://schemas.openxmlformats.org/drawingml/2006/picture">
            <wp:extent cx="2743200" cy="4365266"/>
            <wp:docPr id="1" name="Picture 1"/>
            <wp:cNvGraphicFramePr>
              <a:graphicFrameLocks noChangeAspect="1"/>
            </wp:cNvGraphicFramePr>
            <a:graphic>
              <a:graphicData uri="http://schemas.openxmlformats.org/drawingml/2006/picture">
                <pic:pic>
                  <pic:nvPicPr>
                    <pic:cNvPr id="0" name="96194397.jpg"/>
                    <pic:cNvPicPr/>
                  </pic:nvPicPr>
                  <pic:blipFill>
                    <a:blip r:embed="rId9"/>
                    <a:stretch>
                      <a:fillRect/>
                    </a:stretch>
                  </pic:blipFill>
                  <pic:spPr>
                    <a:xfrm>
                      <a:off x="0" y="0"/>
                      <a:ext cx="2743200" cy="436526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屠格涅夫经典</w:t>
            </w:r>
          </w:p>
        </w:tc>
      </w:tr>
      <w:tr>
        <w:tc>
          <w:tcPr>
            <w:tcW w:type="dxa" w:w="4320"/>
          </w:tcPr>
          <w:p>
            <w:r>
              <w:t>作者</w:t>
            </w:r>
          </w:p>
        </w:tc>
        <w:tc>
          <w:tcPr>
            <w:tcW w:type="dxa" w:w="4320"/>
          </w:tcPr>
          <w:p>
            <w:r>
              <w:t>俄罗斯,屠格涅夫</w:t>
            </w:r>
          </w:p>
        </w:tc>
      </w:tr>
      <w:tr>
        <w:tc>
          <w:tcPr>
            <w:tcW w:type="dxa" w:w="4320"/>
          </w:tcPr>
          <w:p>
            <w:r>
              <w:t>出版社</w:t>
            </w:r>
          </w:p>
        </w:tc>
        <w:tc>
          <w:tcPr>
            <w:tcW w:type="dxa" w:w="4320"/>
          </w:tcPr>
          <w:p>
            <w:r>
              <w:t>江苏凤凰文艺出版社</w:t>
            </w:r>
          </w:p>
        </w:tc>
      </w:tr>
      <w:tr>
        <w:tc>
          <w:tcPr>
            <w:tcW w:type="dxa" w:w="4320"/>
          </w:tcPr>
          <w:p>
            <w:r>
              <w:t>ISBN</w:t>
            </w:r>
          </w:p>
        </w:tc>
        <w:tc>
          <w:tcPr>
            <w:tcW w:type="dxa" w:w="4320"/>
          </w:tcPr>
          <w:p>
            <w:r>
              <w:t>9787559416001</w:t>
            </w:r>
          </w:p>
        </w:tc>
      </w:tr>
      <w:tr>
        <w:tc>
          <w:tcPr>
            <w:tcW w:type="dxa" w:w="4320"/>
          </w:tcPr>
          <w:p>
            <w:r>
              <w:t>出版日期</w:t>
            </w:r>
          </w:p>
        </w:tc>
        <w:tc>
          <w:tcPr>
            <w:tcW w:type="dxa" w:w="4320"/>
          </w:tcPr>
          <w:p>
            <w:r>
              <w:t>2018-05-01</w:t>
            </w:r>
          </w:p>
        </w:tc>
      </w:tr>
      <w:tr>
        <w:tc>
          <w:tcPr>
            <w:tcW w:type="dxa" w:w="4320"/>
          </w:tcPr>
          <w:p>
            <w:r>
              <w:t>页数</w:t>
            </w:r>
          </w:p>
        </w:tc>
        <w:tc>
          <w:tcPr>
            <w:tcW w:type="dxa" w:w="4320"/>
          </w:tcPr>
          <w:p>
            <w:r>
              <w:t>234</w:t>
            </w:r>
          </w:p>
        </w:tc>
      </w:tr>
      <w:tr>
        <w:tc>
          <w:tcPr>
            <w:tcW w:type="dxa" w:w="4320"/>
          </w:tcPr>
          <w:p>
            <w:r>
              <w:t>价格</w:t>
            </w:r>
          </w:p>
        </w:tc>
        <w:tc>
          <w:tcPr>
            <w:tcW w:type="dxa" w:w="4320"/>
          </w:tcPr>
          <w:p>
            <w:r/>
          </w:p>
        </w:tc>
      </w:tr>
      <w:tr>
        <w:tc>
          <w:tcPr>
            <w:tcW w:type="dxa" w:w="4320"/>
          </w:tcPr>
          <w:p>
            <w:r>
              <w:t>关键词</w:t>
            </w:r>
          </w:p>
        </w:tc>
        <w:tc>
          <w:tcPr>
            <w:tcW w:type="dxa" w:w="4320"/>
          </w:tcPr>
          <w:p>
            <w:r>
              <w:t>散文集-俄罗斯-近代；短篇小说-小说集-俄罗斯-近代</w:t>
            </w:r>
          </w:p>
        </w:tc>
      </w:tr>
      <w:tr>
        <w:tc>
          <w:tcPr>
            <w:tcW w:type="dxa" w:w="4320"/>
          </w:tcPr>
          <w:p>
            <w:r>
              <w:t>分类</w:t>
            </w:r>
          </w:p>
        </w:tc>
        <w:tc>
          <w:tcPr>
            <w:tcW w:type="dxa" w:w="4320"/>
          </w:tcPr>
          <w:p>
            <w:r>
              <w:t>欧洲文学</w:t>
            </w:r>
          </w:p>
        </w:tc>
      </w:tr>
    </w:tbl>
    <w:p/>
    <w:p>
      <w:pPr>
        <w:pStyle w:val="Heading1"/>
      </w:pPr>
      <w:r>
        <w:t>图书介绍</w:t>
      </w:r>
    </w:p>
    <w:p>
      <w:r>
        <w:t>屠格涅夫的中短篇小说几乎都可以视为诗歌与散文相结合产生的形式，而且是典范的俄国诗歌和俄国散文相结合产生的新形式，是典范的俄国浪漫主义和典范的俄国现实主义相结合产生的新形式。同时，屠格涅夫的创作具有鲜明的时代特征和强烈的批判精神。本书收录了具代表性的作品散文诗33篇、《猎人笔记》精选及短篇小说《木木》。</w:t>
      </w:r>
    </w:p>
    <w:p/>
    <w:p>
      <w:r>
        <w:t>本书出售、求购地址：https://www.jiaokey.com/book/detail/96194397.html</w:t>
      </w:r>
    </w:p>
    <w:p>
      <w:r>
        <w:t>更多欧洲文学图书推荐：https://www.jiaokey.com</w:t>
      </w:r>
    </w:p>
    <w:p>
      <w:r>
        <w:t>俄罗斯,屠格涅夫 其他作品：https://www.jiaokey.com/tag/俄罗斯,屠格涅夫.html</w:t>
      </w:r>
    </w:p>
    <w:p>
      <w:r>
        <w:t>江苏凤凰文艺出版社 出版图书：https://www.jiaokey.com/tag/江苏凤凰文艺出版社.html</w:t>
      </w:r>
    </w:p>
    <w:p>
      <w:r>
        <w:t>关键词搜索：https://www.jiaokey.com/tag/散文集-俄罗斯-近代；短篇小说-小说集-俄罗斯-近代.html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