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流动性风险约束与中国银行资本结构的动态调整机制研究</w:t>
      </w:r>
    </w:p>
    <w:p>
      <w:r>
        <w:rPr>
          <w:rFonts w:ascii="宋体" w:hAnsi="宋体" w:eastAsia="宋体"/>
          <w:sz w:val="24"/>
        </w:rPr>
        <w:t>杨有振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流动性风险约束与中国银行资本结构的动态调整机制研究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本书出售、求购地址：https://www.jiaokey.com/book/detail/96187505.html</w:t>
      </w:r>
    </w:p>
    <w:p>
      <w:r>
        <w:t>更多相关图书推荐：https://www.jiaokey.com</w:t>
      </w:r>
    </w:p>
    <w:p>
      <w:r>
        <w:t>杨有振 其他作品：https://www.jiaokey.com/tag/杨有振.html</w:t>
      </w:r>
    </w:p>
    <w:p>
      <w:r>
        <w:t>关键词搜索：https://www.jiaokey.com/tag/流动性风险约束与中国银行资本结构的动态调整机制研究.html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