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现代职业素养</w:t>
      </w:r>
    </w:p>
    <w:p>
      <w:r>
        <w:rPr>
          <w:rFonts w:ascii="宋体" w:hAnsi="宋体" w:eastAsia="宋体"/>
          <w:sz w:val="24"/>
        </w:rPr>
        <w:t>韩富军 著 · 教客网电子书</w:t>
      </w:r>
    </w:p>
    <w:p>
      <w:r>
        <w:t>找书就上教客网 —— www.jiaokey.com</w:t>
      </w:r>
    </w:p>
    <w:p/>
    <w:p>
      <w:r>
        <w:drawing>
          <wp:inline xmlns:a="http://schemas.openxmlformats.org/drawingml/2006/main" xmlns:pic="http://schemas.openxmlformats.org/drawingml/2006/picture">
            <wp:extent cx="2743200" cy="3817298"/>
            <wp:docPr id="1" name="Picture 1"/>
            <wp:cNvGraphicFramePr>
              <a:graphicFrameLocks noChangeAspect="1"/>
            </wp:cNvGraphicFramePr>
            <a:graphic>
              <a:graphicData uri="http://schemas.openxmlformats.org/drawingml/2006/picture">
                <pic:pic>
                  <pic:nvPicPr>
                    <pic:cNvPr id="0" name="96178064.jpg"/>
                    <pic:cNvPicPr/>
                  </pic:nvPicPr>
                  <pic:blipFill>
                    <a:blip r:embed="rId9"/>
                    <a:stretch>
                      <a:fillRect/>
                    </a:stretch>
                  </pic:blipFill>
                  <pic:spPr>
                    <a:xfrm>
                      <a:off x="0" y="0"/>
                      <a:ext cx="2743200" cy="381729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现代职业素养</w:t>
            </w:r>
          </w:p>
        </w:tc>
      </w:tr>
      <w:tr>
        <w:tc>
          <w:tcPr>
            <w:tcW w:type="dxa" w:w="4320"/>
          </w:tcPr>
          <w:p>
            <w:r>
              <w:t>作者</w:t>
            </w:r>
          </w:p>
        </w:tc>
        <w:tc>
          <w:tcPr>
            <w:tcW w:type="dxa" w:w="4320"/>
          </w:tcPr>
          <w:p>
            <w:r>
              <w:t>韩富军</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9787568241731</w:t>
            </w:r>
          </w:p>
        </w:tc>
      </w:tr>
      <w:tr>
        <w:tc>
          <w:tcPr>
            <w:tcW w:type="dxa" w:w="4320"/>
          </w:tcPr>
          <w:p>
            <w:r>
              <w:t>出版日期</w:t>
            </w:r>
          </w:p>
        </w:tc>
        <w:tc>
          <w:tcPr>
            <w:tcW w:type="dxa" w:w="4320"/>
          </w:tcPr>
          <w:p>
            <w:r>
              <w:t>2017-06-01</w:t>
            </w:r>
          </w:p>
        </w:tc>
      </w:tr>
      <w:tr>
        <w:tc>
          <w:tcPr>
            <w:tcW w:type="dxa" w:w="4320"/>
          </w:tcPr>
          <w:p>
            <w:r>
              <w:t>页数</w:t>
            </w:r>
          </w:p>
        </w:tc>
        <w:tc>
          <w:tcPr>
            <w:tcW w:type="dxa" w:w="4320"/>
          </w:tcPr>
          <w:p>
            <w:r>
              <w:t>264</w:t>
            </w:r>
          </w:p>
        </w:tc>
      </w:tr>
      <w:tr>
        <w:tc>
          <w:tcPr>
            <w:tcW w:type="dxa" w:w="4320"/>
          </w:tcPr>
          <w:p>
            <w:r>
              <w:t>价格</w:t>
            </w:r>
          </w:p>
        </w:tc>
        <w:tc>
          <w:tcPr>
            <w:tcW w:type="dxa" w:w="4320"/>
          </w:tcPr>
          <w:p>
            <w:r/>
          </w:p>
        </w:tc>
      </w:tr>
      <w:tr>
        <w:tc>
          <w:tcPr>
            <w:tcW w:type="dxa" w:w="4320"/>
          </w:tcPr>
          <w:p>
            <w:r>
              <w:t>关键词</w:t>
            </w:r>
          </w:p>
        </w:tc>
        <w:tc>
          <w:tcPr>
            <w:tcW w:type="dxa" w:w="4320"/>
          </w:tcPr>
          <w:p>
            <w:r>
              <w:t>大学生－职业选择－高等学校－教材</w:t>
            </w:r>
          </w:p>
        </w:tc>
      </w:tr>
      <w:tr>
        <w:tc>
          <w:tcPr>
            <w:tcW w:type="dxa" w:w="4320"/>
          </w:tcPr>
          <w:p>
            <w:r>
              <w:t>分类</w:t>
            </w:r>
          </w:p>
        </w:tc>
        <w:tc>
          <w:tcPr>
            <w:tcW w:type="dxa" w:w="4320"/>
          </w:tcPr>
          <w:p>
            <w:r>
              <w:t>学校管理</w:t>
            </w:r>
          </w:p>
        </w:tc>
      </w:tr>
    </w:tbl>
    <w:p/>
    <w:p>
      <w:pPr>
        <w:pStyle w:val="Heading1"/>
      </w:pPr>
      <w:r>
        <w:t>图书介绍</w:t>
      </w:r>
    </w:p>
    <w:p>
      <w:r>
        <w:t>《现代职业素养/高等职业教育“十三五”创新型规划教材》是各类高职院校普遍开设的公共课《大学生职业素养》所需教材，是依据《中共中央国务院关于深化教育改革全面推进素质教育的决定》的要求撰写的面向全体学生的基础性大学生素质教育教材，适用于所有专业的学生。教材设计的整体指导思想是将职业素养教育贯穿于人才培养的全过程。职业素养作为高职学生综合素质的重要组成部分，越来越受到用人单位的关注。严峻的就业形势，对大学生的职业素养提出了更高的要求。《现代职业素养/高等职业教育“十三五”创新型规划教材》旨在帮助大学生正确理解职业素养在自己职业生涯发展中的作用，实现职业素养的提升，做好各项准备工作，毕业后能直接上岗并胜任工作，成为增加企业核心竞争力的重要人才。《现代职业素养/高等职业教育“十三五”创新型规划教材》既可作为高等专科学校、高等职业学校、成人高校和各类技术学院大学生职业素养培养的专业教材，也可作为所有求职者及机关、团体和企事业单位工作人员必备参考书。</w:t>
      </w:r>
    </w:p>
    <w:p/>
    <w:p>
      <w:r>
        <w:t>本书出售、求购地址：https://www.jiaokey.com/book/detail/96178064.html</w:t>
      </w:r>
    </w:p>
    <w:p>
      <w:r>
        <w:t>更多学校管理图书推荐：https://www.jiaokey.com</w:t>
      </w:r>
    </w:p>
    <w:p>
      <w:r>
        <w:t>韩富军 其他作品：https://www.jiaokey.com/tag/韩富军.html</w:t>
      </w:r>
    </w:p>
    <w:p>
      <w:r>
        <w:t>北京：北京理工大学出版社 出版图书：https://www.jiaokey.com/tag/北京：北京理工大学出版社.html</w:t>
      </w:r>
    </w:p>
    <w:p>
      <w:r>
        <w:t>关键词搜索：https://www.jiaokey.com/tag/大学生－职业选择－高等学校－教材.html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