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民国印论精选</w:t>
      </w:r>
    </w:p>
    <w:p>
      <w:r>
        <w:rPr>
          <w:rFonts w:ascii="宋体" w:hAnsi="宋体" w:eastAsia="宋体"/>
          <w:sz w:val="24"/>
        </w:rPr>
        <w:t>池长庆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66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民国印论精选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池长庆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9787550822481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汉字-印谱-中国-民国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篆刻、治印及作品</w:t>
            </w:r>
          </w:p>
        </w:tc>
      </w:tr>
    </w:tbl>
    <w:p/>
    <w:p>
      <w:pPr>
        <w:pStyle w:val="Heading1"/>
      </w:pPr>
      <w:r>
        <w:t>图书介绍</w:t>
      </w:r>
    </w:p>
    <w:p>
      <w:r>
        <w:t>民国是一个充满着矛盾与变革的时代，政治、经济、文化与艺术在这种时代氛围之下嬗变与转型。民国时代经历了辛亥革命、“五四”运动、抗日战争等重大历史事件都对艺术的发展产生了深刻的影响。辛亥革命广泛传播了民主主义思想，“五四”运动则推动了西方新学思想、学科文化的广泛传播。社会政治的巨大变革，中西文化的激烈碰撞，科学技术的日新月异。纵观民国印坛，金石文字学的兴盛，印学理论的中兴，创作活动的繁荣，都使民国印学研究，无论是地美学观念的深入，还是形式语言的开拓方面都产生了一个质的飞跃。再加上以西冷印社为代表的篆刻社团的创始，作为印论重要载体的篆刻期刊的出现，篆刻教育的推助，为民国印论的发展注入了生机与活力。 民国之前的印论往往是零散的、感性的、缺乏系统的印学理论，多为篆刻家个人学习心得与经验呈现。而民国印论许多是以专著的形式出版与发行，这些印学专著受西方科学体系的影响，具备科学性、学科性与综合性。 本书是编者池长庆、郑利权对民国印论所做研究的一个阶段性成果。</w:t>
      </w:r>
    </w:p>
    <w:p/>
    <w:p>
      <w:r>
        <w:t>本书出售、求购地址：https://www.jiaokey.com/book/detail/96166309.html</w:t>
      </w:r>
    </w:p>
    <w:p>
      <w:r>
        <w:t>更多篆刻、治印及作品图书推荐：https://www.jiaokey.com</w:t>
      </w:r>
    </w:p>
    <w:p>
      <w:r>
        <w:t>池长庆 其他作品：https://www.jiaokey.com/tag/池长庆.html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关键词搜索：https://www.jiaokey.com/tag/汉字-印谱-中国-民国.html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