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神秘的狗</w:t>
      </w:r>
    </w:p>
    <w:p>
      <w:r>
        <w:rPr>
          <w:rFonts w:ascii="宋体" w:hAnsi="宋体" w:eastAsia="宋体"/>
          <w:sz w:val="24"/>
        </w:rPr>
        <w:t>（俄罗斯）斯坦尼斯拉夫·符拉基米尔洛维奇·沃斯托科夫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（俄罗斯）斯坦尼斯拉夫·符拉基米尔洛维奇·沃斯托科夫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本书出售、求购地址：https://www.jiaokey.com/book/detail/96153005.html</w:t>
      </w:r>
    </w:p>
    <w:p>
      <w:r>
        <w:t>更多相关图书推荐：https://www.jiaokey.com</w:t>
      </w:r>
    </w:p>
    <w:p>
      <w:r>
        <w:t>（俄罗斯）斯坦尼斯拉夫·符拉基米尔洛维奇·沃斯托科夫 其他作品：https://www.jiaokey.com/tag/（俄罗斯）斯坦尼斯拉夫·符拉基米尔洛维奇·沃斯托科夫.html</w:t>
      </w:r>
    </w:p>
    <w:p>
      <w:r>
        <w:t>关键词搜索：https://www.jiaokey.com/tag/神秘的狗.html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