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2007中国财政发展报告 中国财政分级管理体制的改革与展望</w:t>
      </w:r>
    </w:p>
    <w:p>
      <w:r>
        <w:rPr>
          <w:rFonts w:ascii="宋体" w:hAnsi="宋体" w:eastAsia="宋体"/>
          <w:sz w:val="24"/>
        </w:rPr>
        <w:t>上海财经大学公共政策研究中心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2007中国财政发展报告 中国财政分级管理体制的改革与展望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上海财经大学公共政策研究中心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本书出售、求购地址：https://www.jiaokey.com/book/detail/96125635.html</w:t>
      </w:r>
    </w:p>
    <w:p>
      <w:r>
        <w:t>更多相关图书推荐：https://www.jiaokey.com</w:t>
      </w:r>
    </w:p>
    <w:p>
      <w:r>
        <w:t>上海财经大学公共政策研究中心 其他作品：https://www.jiaokey.com/tag/上海财经大学公共政策研究中心.html</w:t>
      </w:r>
    </w:p>
    <w:p>
      <w:r>
        <w:t>关键词搜索：https://www.jiaokey.com/tag/2007中国财政发展报告 中国财政分级管理体制的改革与展望.html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