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博弈中的追求u3000一位中学校长的“零”作业抉择</w:t>
      </w:r>
    </w:p>
    <w:p>
      <w:r>
        <w:rPr>
          <w:rFonts w:ascii="宋体" w:hAnsi="宋体" w:eastAsia="宋体"/>
          <w:sz w:val="24"/>
        </w:rPr>
        <w:t>李志欣著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博弈中的追求u3000一位中学校长的“零”作业抉择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本书出售、求购地址：https://www.jiaokey.com/book/detail/96103157.html</w:t>
      </w:r>
    </w:p>
    <w:p>
      <w:r>
        <w:t>更多相关图书推荐：https://www.jiaokey.com</w:t>
      </w:r>
    </w:p>
    <w:p>
      <w:r>
        <w:t>李志欣著 其他作品：https://www.jiaokey.com/tag/李志欣著.html</w:t>
      </w:r>
    </w:p>
    <w:p>
      <w:r>
        <w:t>关键词搜索：https://www.jiaokey.com/tag/博弈中的追求u3000一位中学校长的“零”作业抉择.html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