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书名：成长期高科技企业战略资源激励与控制权配置研究</w:t>
      </w:r>
    </w:p>
    <w:p>
      <w:r>
        <w:t>作者：周蓉著</w:t>
      </w:r>
    </w:p>
    <w:p>
      <w:r>
        <w:t>出版社：成都：四川大学出版社</w:t>
      </w:r>
    </w:p>
    <w:p>
      <w:r>
        <w:t>出版日期：2015.05</w:t>
      </w:r>
    </w:p>
    <w:p>
      <w:r>
        <w:t>总页数：274</w:t>
      </w:r>
    </w:p>
    <w:p>
      <w:r>
        <w:t>更多请访问教客网: www.jiaokey.com</w:t>
      </w:r>
    </w:p>
    <w:p>
      <w:r>
        <w:t>成长期高科技企业战略资源激励与控制权配置研究 评论地址：https://www.jiaokey.com/book/detail/96081060.html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