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绿色印刷常识  全7册  第2册</w:t>
      </w:r>
    </w:p>
    <w:p>
      <w:r>
        <w:rPr>
          <w:rFonts w:ascii="宋体" w:hAnsi="宋体" w:eastAsia="宋体"/>
          <w:sz w:val="24"/>
        </w:rPr>
        <w:t>郑吉春主编；袁宇霞编著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绿色印刷常识  全7册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郑吉春主编；袁宇霞编著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本书出售、求购地址：https://www.jiaokey.com/book/detail/96012095.html</w:t>
      </w:r>
    </w:p>
    <w:p>
      <w:r>
        <w:t>更多相关图书推荐：https://www.jiaokey.com</w:t>
      </w:r>
    </w:p>
    <w:p>
      <w:r>
        <w:t>郑吉春主编；袁宇霞编著 其他作品：https://www.jiaokey.com/tag/郑吉春主编；袁宇霞编著.html</w:t>
      </w:r>
    </w:p>
    <w:p>
      <w:r>
        <w:t>北京艺术与科学电子出版社 出版图书：https://www.jiaokey.com/tag/北京艺术与科学电子出版社.html</w:t>
      </w:r>
    </w:p>
    <w:p>
      <w:r>
        <w:t>关键词搜索：https://www.jiaokey.com/tag/绿色印刷常识  全7册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