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猕猴桃无公害生产技术</w:t>
      </w:r>
    </w:p>
    <w:p>
      <w:r>
        <w:rPr>
          <w:rFonts w:ascii="宋体" w:hAnsi="宋体" w:eastAsia="宋体"/>
          <w:sz w:val="24"/>
        </w:rPr>
        <w:t>雷玉山，王西锐，姚春湖等编著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猕猴桃无公害生产技术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雷玉山，王西锐，姚春湖等编著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咸阳：西北农林科技大学出版社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本书出售、求购地址：https://www.jiaokey.com/book/detail/96003013.html</w:t>
      </w:r>
    </w:p>
    <w:p>
      <w:r>
        <w:t>更多相关图书推荐：https://www.jiaokey.com</w:t>
      </w:r>
    </w:p>
    <w:p>
      <w:r>
        <w:t>雷玉山，王西锐，姚春湖等编著 其他作品：https://www.jiaokey.com/tag/雷玉山，王西锐，姚春湖等编著.html</w:t>
      </w:r>
    </w:p>
    <w:p>
      <w:r>
        <w:t>咸阳：西北农林科技大学出版社 出版图书：https://www.jiaokey.com/tag/咸阳：西北农林科技大学出版社.html</w:t>
      </w:r>
    </w:p>
    <w:p>
      <w:r>
        <w:t>关键词搜索：https://www.jiaokey.com/tag/猕猴桃无公害生产技术.html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