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证券市场运行与风险管理ue004</w:t>
      </w:r>
    </w:p>
    <w:p>
      <w:r>
        <w:rPr>
          <w:rFonts w:ascii="宋体" w:hAnsi="宋体" w:eastAsia="宋体"/>
          <w:sz w:val="24"/>
        </w:rPr>
        <w:t>尹建国，汪涛，岳桂宁著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证券市场运行与风险管理ue004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尹建国，汪涛，岳桂宁著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本书出售、求购地址：https://www.jiaokey.com/book/detail/90141911.html</w:t>
      </w:r>
    </w:p>
    <w:p>
      <w:r>
        <w:t>更多相关图书推荐：https://www.jiaokey.com</w:t>
      </w:r>
    </w:p>
    <w:p>
      <w:r>
        <w:t>尹建国，汪涛，岳桂宁著 其他作品：https://www.jiaokey.com/tag/尹建国，汪涛，岳桂宁著.html</w:t>
      </w:r>
    </w:p>
    <w:p>
      <w:r>
        <w:t>广西人民出版社 出版图书：https://www.jiaokey.com/tag/广西人民出版社.html</w:t>
      </w:r>
    </w:p>
    <w:p>
      <w:r>
        <w:t>关键词搜索：https://www.jiaokey.com/tag/证券市场运行与风险管理ue004.html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