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教学方式新思维：“九字万能”建模与兼容教学法</w:t>
      </w:r>
    </w:p>
    <w:p>
      <w:r>
        <w:rPr>
          <w:rFonts w:ascii="宋体" w:hAnsi="宋体" w:eastAsia="宋体"/>
          <w:sz w:val="24"/>
        </w:rPr>
        <w:t>冯君南著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教学方式新思维：“九字万能”建模与兼容教学法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本书出售、求购地址：https://www.jiaokey.com/book/detail/90141706.html</w:t>
      </w:r>
    </w:p>
    <w:p>
      <w:r>
        <w:t>更多相关图书推荐：https://www.jiaokey.com</w:t>
      </w:r>
    </w:p>
    <w:p>
      <w:r>
        <w:t>冯君南著 其他作品：https://www.jiaokey.com/tag/冯君南著.html</w:t>
      </w:r>
    </w:p>
    <w:p>
      <w:r>
        <w:t>广西人民出版社 出版图书：https://www.jiaokey.com/tag/广西人民出版社.html</w:t>
      </w:r>
    </w:p>
    <w:p>
      <w:r>
        <w:t>关键词搜索：https://www.jiaokey.com/tag/教学方式新思维：“九字万能”建模与兼容教学法.html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