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山西崞县是怎样进行土地改革的</w:t>
      </w:r>
    </w:p>
    <w:p>
      <w:r>
        <w:rPr>
          <w:rFonts w:ascii="宋体" w:hAnsi="宋体" w:eastAsia="宋体"/>
          <w:sz w:val="24"/>
        </w:rPr>
        <w:t>谭政文著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山西崞县是怎样进行土地改革的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本书出售、求购地址：https://www.jiaokey.com/book/detail/90128464.html</w:t>
      </w:r>
    </w:p>
    <w:p>
      <w:r>
        <w:t>更多相关图书推荐：https://www.jiaokey.com</w:t>
      </w:r>
    </w:p>
    <w:p>
      <w:r>
        <w:t>谭政文著 其他作品：https://www.jiaokey.com/tag/谭政文著.html</w:t>
      </w:r>
    </w:p>
    <w:p>
      <w:r>
        <w:t>东北日报社 出版图书：https://www.jiaokey.com/tag/东北日报社.html</w:t>
      </w:r>
    </w:p>
    <w:p>
      <w:r>
        <w:t>关键词搜索：https://www.jiaokey.com/tag/山西崞县是怎样进行土地改革的.html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