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财经新闻传播前沿：来自采编一线的最新视角</w:t>
      </w:r>
    </w:p>
    <w:p>
      <w:r>
        <w:rPr>
          <w:rFonts w:ascii="宋体" w:hAnsi="宋体" w:eastAsia="宋体"/>
          <w:sz w:val="24"/>
        </w:rPr>
        <w:t>关雅文主编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财经新闻传播前沿：来自采编一线的最新视角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关雅文主编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华南理工大学出版社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本书出售、求购地址：https://www.jiaokey.com/book/detail/90127730.html</w:t>
      </w:r>
    </w:p>
    <w:p>
      <w:r>
        <w:t>更多相关图书推荐：https://www.jiaokey.com</w:t>
      </w:r>
    </w:p>
    <w:p>
      <w:r>
        <w:t>关雅文主编 其他作品：https://www.jiaokey.com/tag/关雅文主编.html</w:t>
      </w:r>
    </w:p>
    <w:p>
      <w:r>
        <w:t>华南理工大学出版社 出版图书：https://www.jiaokey.com/tag/华南理工大学出版社.html</w:t>
      </w:r>
    </w:p>
    <w:p>
      <w:r>
        <w:t>关键词搜索：https://www.jiaokey.com/tag/财经新闻传播前沿：来自采编一线的最新视角.html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