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经皮冠状动脉腔内成形术</w:t>
      </w:r>
    </w:p>
    <w:p>
      <w:r>
        <w:rPr>
          <w:rFonts w:ascii="宋体" w:hAnsi="宋体" w:eastAsia="宋体"/>
          <w:sz w:val="24"/>
        </w:rPr>
        <w:t>陈绍良，牧一彦（日本）编著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经皮冠状动脉腔内成形术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陈绍良，牧一彦（日本）编著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本书出售、求购地址：https://www.jiaokey.com/book/detail/90125895.html</w:t>
      </w:r>
    </w:p>
    <w:p>
      <w:r>
        <w:t>更多相关图书推荐：https://www.jiaokey.com</w:t>
      </w:r>
    </w:p>
    <w:p>
      <w:r>
        <w:t>陈绍良，牧一彦（日本）编著 其他作品：https://www.jiaokey.com/tag/陈绍良，牧一彦（日本）编著.html</w:t>
      </w:r>
    </w:p>
    <w:p>
      <w:r>
        <w:t>东南大学出版社 出版图书：https://www.jiaokey.com/tag/东南大学出版社.html</w:t>
      </w:r>
    </w:p>
    <w:p>
      <w:r>
        <w:t>关键词搜索：https://www.jiaokey.com/tag/经皮冠状动脉腔内成形术.html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