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中国绩效预算改革研究：从制度变迁的角度</w:t>
      </w:r>
    </w:p>
    <w:p>
      <w:r>
        <w:rPr>
          <w:rFonts w:ascii="宋体" w:hAnsi="宋体" w:eastAsia="宋体"/>
          <w:sz w:val="24"/>
        </w:rPr>
        <w:t>黄敏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中国绩效预算改革研究：从制度变迁的角度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本书出售、求购地址：https://www.jiaokey.com/book/detail/90123306.html</w:t>
      </w:r>
    </w:p>
    <w:p>
      <w:r>
        <w:t>更多相关图书推荐：https://www.jiaokey.com</w:t>
      </w:r>
    </w:p>
    <w:p>
      <w:r>
        <w:t>黄敏 其他作品：https://www.jiaokey.com/tag/黄敏.html</w:t>
      </w:r>
    </w:p>
    <w:p>
      <w:r>
        <w:t>江西高校出版社 出版图书：https://www.jiaokey.com/tag/江西高校出版社.html</w:t>
      </w:r>
    </w:p>
    <w:p>
      <w:r>
        <w:t>关键词搜索：https://www.jiaokey.com/tag/中国绩效预算改革研究：从制度变迁的角度.html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