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国家战略艺术：结构、原则和方法</w:t>
      </w:r>
    </w:p>
    <w:p>
      <w:r>
        <w:rPr>
          <w:rFonts w:ascii="宋体" w:hAnsi="宋体" w:eastAsia="宋体"/>
          <w:sz w:val="24"/>
        </w:rPr>
        <w:t>李继盛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国家战略艺术：结构、原则和方法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本书出售、求购地址：https://www.jiaokey.com/book/detail/90123062.html</w:t>
      </w:r>
    </w:p>
    <w:p>
      <w:r>
        <w:t>更多相关图书推荐：https://www.jiaokey.com</w:t>
      </w:r>
    </w:p>
    <w:p>
      <w:r>
        <w:t>李继盛 其他作品：https://www.jiaokey.com/tag/李继盛.html</w:t>
      </w:r>
    </w:p>
    <w:p>
      <w:r>
        <w:t>广西人民出版社 出版图书：https://www.jiaokey.com/tag/广西人民出版社.html</w:t>
      </w:r>
    </w:p>
    <w:p>
      <w:r>
        <w:t>关键词搜索：https://www.jiaokey.com/tag/国家战略艺术：结构、原则和方法.html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