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农村房屋、宅基地、邻里纠纷法律指南</w:t>
      </w:r>
    </w:p>
    <w:p>
      <w:r>
        <w:rPr>
          <w:rFonts w:ascii="宋体" w:hAnsi="宋体" w:eastAsia="宋体"/>
          <w:sz w:val="24"/>
        </w:rPr>
        <w:t>王恩锋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农村房屋、宅基地、邻里纠纷法律指南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本书出售、求购地址：https://www.jiaokey.com/book/detail/90122756.html</w:t>
      </w:r>
    </w:p>
    <w:p>
      <w:r>
        <w:t>更多相关图书推荐：https://www.jiaokey.com</w:t>
      </w:r>
    </w:p>
    <w:p>
      <w:r>
        <w:t>王恩锋 其他作品：https://www.jiaokey.com/tag/王恩锋.html</w:t>
      </w:r>
    </w:p>
    <w:p>
      <w:r>
        <w:t>陕西人民出版社 出版图书：https://www.jiaokey.com/tag/陕西人民出版社.html</w:t>
      </w:r>
    </w:p>
    <w:p>
      <w:r>
        <w:t>关键词搜索：https://www.jiaokey.com/tag/农村房屋、宅基地、邻里纠纷法律指南.html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