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牧草种子生产  理论及应用</w:t>
      </w:r>
    </w:p>
    <w:p>
      <w:r>
        <w:rPr>
          <w:rFonts w:ascii="宋体" w:hAnsi="宋体" w:eastAsia="宋体"/>
          <w:sz w:val="24"/>
        </w:rPr>
        <w:t>（澳）汉弗莱斯，里弗勒斯著；李淑安，赵俊权译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牧草种子生产  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（澳）汉弗莱斯，里弗勒斯著；李淑安，赵俊权译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本书出售、求购地址：https://www.jiaokey.com/book/detail/90119626.html</w:t>
      </w:r>
    </w:p>
    <w:p>
      <w:r>
        <w:t>更多相关图书推荐：https://www.jiaokey.com</w:t>
      </w:r>
    </w:p>
    <w:p>
      <w:r>
        <w:t>（澳）汉弗莱斯，里弗勒斯著；李淑安，赵俊权译 其他作品：https://www.jiaokey.com/tag/（澳）汉弗莱斯，里弗勒斯著；李淑安，赵俊权译.html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关键词搜索：https://www.jiaokey.com/tag/牧草种子生产  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