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专家门诊：ASP开发答疑200问</w:t>
      </w:r>
    </w:p>
    <w:p>
      <w:r>
        <w:rPr>
          <w:rFonts w:ascii="宋体" w:hAnsi="宋体" w:eastAsia="宋体"/>
          <w:sz w:val="24"/>
        </w:rPr>
        <w:t>易昭湘，聂元铭，杨眉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专家门诊：ASP开发答疑200问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易昭湘，聂元铭，杨眉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本书出售、求购地址：https://www.jiaokey.com/book/detail/90118832.html</w:t>
      </w:r>
    </w:p>
    <w:p>
      <w:r>
        <w:t>更多相关图书推荐：https://www.jiaokey.com</w:t>
      </w:r>
    </w:p>
    <w:p>
      <w:r>
        <w:t>易昭湘，聂元铭，杨眉 其他作品：https://www.jiaokey.com/tag/易昭湘，聂元铭，杨眉.html</w:t>
      </w:r>
    </w:p>
    <w:p>
      <w:r>
        <w:t>人民邮电出版社 出版图书：https://www.jiaokey.com/tag/人民邮电出版社.html</w:t>
      </w:r>
    </w:p>
    <w:p>
      <w:r>
        <w:t>关键词搜索：https://www.jiaokey.com/tag/专家门诊：ASP开发答疑200问.html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