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11 图形创意与设计典型效果实战演练150 例</w:t>
      </w:r>
    </w:p>
    <w:p>
      <w:r>
        <w:rPr>
          <w:rFonts w:ascii="宋体" w:hAnsi="宋体" w:eastAsia="宋体"/>
          <w:sz w:val="24"/>
        </w:rPr>
        <w:t>鹏程科技编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11 图形创意与设计典型效果实战演练150 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鹏程科技编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本书出售、求购地址：https://www.jiaokey.com/book/detail/90118625.html</w:t>
      </w:r>
    </w:p>
    <w:p>
      <w:r>
        <w:t>更多相关图书推荐：https://www.jiaokey.com</w:t>
      </w:r>
    </w:p>
    <w:p>
      <w:r>
        <w:t>鹏程科技编 其他作品：https://www.jiaokey.com/tag/鹏程科技编.html</w:t>
      </w:r>
    </w:p>
    <w:p>
      <w:r>
        <w:t>人民邮电出版社 出版图书：https://www.jiaokey.com/tag/人民邮电出版社.html</w:t>
      </w:r>
    </w:p>
    <w:p>
      <w:r>
        <w:t>关键词搜索：https://www.jiaokey.com/tag/CorelDRAW 11 图形创意与设计典型效果实战演练150 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