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黑板报·宣传画设计模块</w:t>
      </w:r>
    </w:p>
    <w:p>
      <w:r>
        <w:rPr>
          <w:rFonts w:ascii="宋体" w:hAnsi="宋体" w:eastAsia="宋体"/>
          <w:sz w:val="24"/>
        </w:rPr>
        <w:t>聂丽芬 黄强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黑板报·宣传画设计模块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聂丽芬 黄强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本书出售、求购地址：https://www.jiaokey.com/book/detail/90116889.html</w:t>
      </w:r>
    </w:p>
    <w:p>
      <w:r>
        <w:t>更多相关图书推荐：https://www.jiaokey.com</w:t>
      </w:r>
    </w:p>
    <w:p>
      <w:r>
        <w:t>聂丽芬 黄强 其他作品：https://www.jiaokey.com/tag/聂丽芬 黄强.html</w:t>
      </w:r>
    </w:p>
    <w:p>
      <w:r>
        <w:t>江西美术出版社 出版图书：https://www.jiaokey.com/tag/江西美术出版社.html</w:t>
      </w:r>
    </w:p>
    <w:p>
      <w:r>
        <w:t>关键词搜索：https://www.jiaokey.com/tag/黑板报·宣传画设计模块.html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