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21世纪现代应用文写作丛书：涉外文书规范写作</w:t>
      </w:r>
    </w:p>
    <w:p>
      <w:r>
        <w:rPr>
          <w:rFonts w:ascii="宋体" w:hAnsi="宋体" w:eastAsia="宋体"/>
          <w:sz w:val="24"/>
        </w:rPr>
        <w:t>曾富蓉 黄大勇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21世纪现代应用文写作丛书：涉外文书规范写作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曾富蓉 黄大勇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本书出售、求购地址：https://www.jiaokey.com/book/detail/90115662.html</w:t>
      </w:r>
    </w:p>
    <w:p>
      <w:r>
        <w:t>更多相关图书推荐：https://www.jiaokey.com</w:t>
      </w:r>
    </w:p>
    <w:p>
      <w:r>
        <w:t>曾富蓉 黄大勇 其他作品：https://www.jiaokey.com/tag/曾富蓉 黄大勇.html</w:t>
      </w:r>
    </w:p>
    <w:p>
      <w:r>
        <w:t>重庆出版社 出版图书：https://www.jiaokey.com/tag/重庆出版社.html</w:t>
      </w:r>
    </w:p>
    <w:p>
      <w:r>
        <w:t>关键词搜索：https://www.jiaokey.com/tag/21世纪现代应用文写作丛书：涉外文书规范写作.html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