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对内保护 对外壁垒：欧盟反倾销制度</w:t>
      </w:r>
    </w:p>
    <w:p>
      <w:r>
        <w:rPr>
          <w:rFonts w:ascii="宋体" w:hAnsi="宋体" w:eastAsia="宋体"/>
          <w:sz w:val="24"/>
        </w:rPr>
        <w:t>杨丹，刘英国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对内保护 对外壁垒：欧盟反倾销制度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杨丹，刘英国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本书出售、求购地址：https://www.jiaokey.com/book/detail/90115632.html</w:t>
      </w:r>
    </w:p>
    <w:p>
      <w:r>
        <w:t>更多相关图书推荐：https://www.jiaokey.com</w:t>
      </w:r>
    </w:p>
    <w:p>
      <w:r>
        <w:t>杨丹，刘英国 其他作品：https://www.jiaokey.com/tag/杨丹，刘英国.html</w:t>
      </w:r>
    </w:p>
    <w:p>
      <w:r>
        <w:t>江西高校出版社 出版图书：https://www.jiaokey.com/tag/江西高校出版社.html</w:t>
      </w:r>
    </w:p>
    <w:p>
      <w:r>
        <w:t>关键词搜索：https://www.jiaokey.com/tag/对内保护 对外壁垒：欧盟反倾销制度.html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