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野菊之墓</w:t>
      </w:r>
    </w:p>
    <w:p>
      <w:r>
        <w:rPr>
          <w:rFonts w:ascii="宋体" w:hAnsi="宋体" w:eastAsia="宋体"/>
          <w:sz w:val="24"/>
        </w:rPr>
        <w:t>（日）伊藤左千夫著，朴今花译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（日）伊藤左千夫著，朴今花译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本书出售、求购地址：https://www.jiaokey.com/book/detail/90115414.html</w:t>
      </w:r>
    </w:p>
    <w:p>
      <w:r>
        <w:t>更多相关图书推荐：https://www.jiaokey.com</w:t>
      </w:r>
    </w:p>
    <w:p>
      <w:r>
        <w:t>（日）伊藤左千夫著，朴今花译 其他作品：https://www.jiaokey.com/tag/（日）伊藤左千夫著，朴今花译.html</w:t>
      </w:r>
    </w:p>
    <w:p>
      <w:r>
        <w:t>四川文艺出版社 出版图书：https://www.jiaokey.com/tag/四川文艺出版社.html</w:t>
      </w:r>
    </w:p>
    <w:p>
      <w:r>
        <w:t>关键词搜索：https://www.jiaokey.com/tag/野菊之墓.html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