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外交战略中的声誉因素研究：冷战后中国参与国际制度的解释</w:t>
      </w:r>
    </w:p>
    <w:p>
      <w:r>
        <w:rPr>
          <w:rFonts w:ascii="宋体" w:hAnsi="宋体" w:eastAsia="宋体"/>
          <w:sz w:val="24"/>
        </w:rPr>
        <w:t>王学东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外交战略中的声誉因素研究：冷战后中国参与国际制度的解释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本书出售、求购地址：https://www.jiaokey.com/book/detail/90114508.html</w:t>
      </w:r>
    </w:p>
    <w:p>
      <w:r>
        <w:t>更多相关图书推荐：https://www.jiaokey.com</w:t>
      </w:r>
    </w:p>
    <w:p>
      <w:r>
        <w:t>王学东 其他作品：https://www.jiaokey.com/tag/王学东.html</w:t>
      </w:r>
    </w:p>
    <w:p>
      <w:r>
        <w:t>天津人民出版社 出版图书：https://www.jiaokey.com/tag/天津人民出版社.html</w:t>
      </w:r>
    </w:p>
    <w:p>
      <w:r>
        <w:t>关键词搜索：https://www.jiaokey.com/tag/外交战略中的声誉因素研究：冷战后中国参与国际制度的解释.html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