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雪妃娘娘和包鲁嘎汗</w:t>
      </w:r>
    </w:p>
    <w:p>
      <w:r>
        <w:rPr>
          <w:rFonts w:ascii="宋体" w:hAnsi="宋体" w:eastAsia="宋体"/>
          <w:sz w:val="24"/>
        </w:rPr>
        <w:t>富育光 王慧新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雪妃娘娘和包鲁嘎汗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富育光 王慧新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本书出售、求购地址：https://www.jiaokey.com/book/detail/90114236.html</w:t>
      </w:r>
    </w:p>
    <w:p>
      <w:r>
        <w:t>更多相关图书推荐：https://www.jiaokey.com</w:t>
      </w:r>
    </w:p>
    <w:p>
      <w:r>
        <w:t>富育光 王慧新 其他作品：https://www.jiaokey.com/tag/富育光 王慧新.html</w:t>
      </w:r>
    </w:p>
    <w:p>
      <w:r>
        <w:t>吉林人民出版社 出版图书：https://www.jiaokey.com/tag/吉林人民出版社.html</w:t>
      </w:r>
    </w:p>
    <w:p>
      <w:r>
        <w:t>关键词搜索：https://www.jiaokey.com/tag/雪妃娘娘和包鲁嘎汗.html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