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国（区）际民商事法律适用法</w:t>
      </w:r>
    </w:p>
    <w:p>
      <w:r>
        <w:rPr>
          <w:rFonts w:ascii="宋体" w:hAnsi="宋体" w:eastAsia="宋体"/>
          <w:sz w:val="24"/>
        </w:rPr>
        <w:t>余先予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国（区）际民商事法律适用法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本书出售、求购地址：https://www.jiaokey.com/book/detail/90089101.html</w:t>
      </w:r>
    </w:p>
    <w:p>
      <w:r>
        <w:t>更多相关图书推荐：https://www.jiaokey.com</w:t>
      </w:r>
    </w:p>
    <w:p>
      <w:r>
        <w:t>余先予 其他作品：https://www.jiaokey.com/tag/余先予.html</w:t>
      </w:r>
    </w:p>
    <w:p>
      <w:r>
        <w:t>人民日报出版社 出版图书：https://www.jiaokey.com/tag/人民日报出版社.html</w:t>
      </w:r>
    </w:p>
    <w:p>
      <w:r>
        <w:t>关键词搜索：https://www.jiaokey.com/tag/国（区）际民商事法律适用法.html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