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世贸规则与影响对策</w:t>
      </w:r>
    </w:p>
    <w:p>
      <w:r>
        <w:rPr>
          <w:rFonts w:ascii="宋体" w:hAnsi="宋体" w:eastAsia="宋体"/>
          <w:sz w:val="24"/>
        </w:rPr>
        <w:t>刘用卿，安世民，卫力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世贸规则与影响对策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刘用卿，安世民，卫力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本书出售、求购地址：https://www.jiaokey.com/book/detail/90086237.html</w:t>
      </w:r>
    </w:p>
    <w:p>
      <w:r>
        <w:t>更多相关图书推荐：https://www.jiaokey.com</w:t>
      </w:r>
    </w:p>
    <w:p>
      <w:r>
        <w:t>刘用卿，安世民，卫力 其他作品：https://www.jiaokey.com/tag/刘用卿，安世民，卫力.html</w:t>
      </w:r>
    </w:p>
    <w:p>
      <w:r>
        <w:t>兰州大学出版社 出版图书：https://www.jiaokey.com/tag/兰州大学出版社.html</w:t>
      </w:r>
    </w:p>
    <w:p>
      <w:r>
        <w:t>关键词搜索：https://www.jiaokey.com/tag/世贸规则与影响对策.html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