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面向新世纪的创新：全球化条件下当代中国的挑战与抉择</w:t>
      </w:r>
    </w:p>
    <w:p>
      <w:r>
        <w:rPr>
          <w:rFonts w:ascii="宋体" w:hAnsi="宋体" w:eastAsia="宋体"/>
          <w:sz w:val="24"/>
        </w:rPr>
        <w:t>王庆五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面向新世纪的创新：全球化条件下当代中国的挑战与抉择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本书出售、求购地址：https://www.jiaokey.com/book/detail/90084019.html</w:t>
      </w:r>
    </w:p>
    <w:p>
      <w:r>
        <w:t>更多相关图书推荐：https://www.jiaokey.com</w:t>
      </w:r>
    </w:p>
    <w:p>
      <w:r>
        <w:t>王庆五 其他作品：https://www.jiaokey.com/tag/王庆五.html</w:t>
      </w:r>
    </w:p>
    <w:p>
      <w:r>
        <w:t>天津人民出版社 出版图书：https://www.jiaokey.com/tag/天津人民出版社.html</w:t>
      </w:r>
    </w:p>
    <w:p>
      <w:r>
        <w:t>关键词搜索：https://www.jiaokey.com/tag/面向新世纪的创新：全球化条件下当代中国的挑战与抉择.html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