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国家、社会与弱势群体——民国时期的社会救济</w:t>
      </w:r>
    </w:p>
    <w:p>
      <w:r>
        <w:rPr>
          <w:rFonts w:ascii="宋体" w:hAnsi="宋体" w:eastAsia="宋体"/>
          <w:sz w:val="24"/>
        </w:rPr>
        <w:t>蔡勤禹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国家、社会与弱势群体——民国时期的社会救济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蔡勤禹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本书出售、求购地址：https://www.jiaokey.com/book/detail/90083991.html</w:t>
      </w:r>
    </w:p>
    <w:p>
      <w:r>
        <w:t>更多相关图书推荐：https://www.jiaokey.com</w:t>
      </w:r>
    </w:p>
    <w:p>
      <w:r>
        <w:t>蔡勤禹 其他作品：https://www.jiaokey.com/tag/蔡勤禹.html</w:t>
      </w:r>
    </w:p>
    <w:p>
      <w:r>
        <w:t>天津人民出版社 出版图书：https://www.jiaokey.com/tag/天津人民出版社.html</w:t>
      </w:r>
    </w:p>
    <w:p>
      <w:r>
        <w:t>关键词搜索：https://www.jiaokey.com/tag/国家、社会与弱势群体——民国时期的社会救济.html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