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人类审美活动的逻辑起点是生命</w:t>
      </w:r>
    </w:p>
    <w:p>
      <w:r>
        <w:rPr>
          <w:rFonts w:ascii="宋体" w:hAnsi="宋体" w:eastAsia="宋体"/>
          <w:sz w:val="24"/>
        </w:rPr>
        <w:t>封孝伦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人类审美活动的逻辑起点是生命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本书出售、求购地址：https://www.jiaokey.com/book/detail/81236031.html</w:t>
      </w:r>
    </w:p>
    <w:p>
      <w:r>
        <w:t>更多相关图书推荐：https://www.jiaokey.com</w:t>
      </w:r>
    </w:p>
    <w:p>
      <w:r>
        <w:t>封孝伦 其他作品：https://www.jiaokey.com/tag/封孝伦.html</w:t>
      </w:r>
    </w:p>
    <w:p>
      <w:r>
        <w:t>关键词搜索：https://www.jiaokey.com/tag/人类审美活动的逻辑起点是生命.html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