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农村劳动力流动与地区经济差距</w:t>
      </w:r>
    </w:p>
    <w:p>
      <w:r>
        <w:rPr>
          <w:rFonts w:ascii="宋体" w:hAnsi="宋体" w:eastAsia="宋体"/>
          <w:sz w:val="24"/>
        </w:rPr>
        <w:t>严浩坤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农村劳动力流动与地区经济差距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严浩坤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本书出售、求购地址：https://www.jiaokey.com/book/detail/81235877.html</w:t>
      </w:r>
    </w:p>
    <w:p>
      <w:r>
        <w:t>更多相关图书推荐：https://www.jiaokey.com</w:t>
      </w:r>
    </w:p>
    <w:p>
      <w:r>
        <w:t>严浩坤 其他作品：https://www.jiaokey.com/tag/严浩坤.html</w:t>
      </w:r>
    </w:p>
    <w:p>
      <w:r>
        <w:t>关键词搜索：https://www.jiaokey.com/tag/农村劳动力流动与地区经济差距.html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