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实施经济文化一体化战略实现经济社会发展历史性跨越</w:t>
      </w:r>
    </w:p>
    <w:p>
      <w:r>
        <w:rPr>
          <w:rFonts w:ascii="宋体" w:hAnsi="宋体" w:eastAsia="宋体"/>
          <w:sz w:val="24"/>
        </w:rPr>
        <w:t>高波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实施经济文化一体化战略实现经济社会发展历史性跨越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本书出售、求购地址：https://www.jiaokey.com/book/detail/81235737.html</w:t>
      </w:r>
    </w:p>
    <w:p>
      <w:r>
        <w:t>更多相关图书推荐：https://www.jiaokey.com</w:t>
      </w:r>
    </w:p>
    <w:p>
      <w:r>
        <w:t>高波 其他作品：https://www.jiaokey.com/tag/高波.html</w:t>
      </w:r>
    </w:p>
    <w:p>
      <w:r>
        <w:t>关键词搜索：https://www.jiaokey.com/tag/实施经济文化一体化战略实现经济社会发展历史性跨越.html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