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贵州毕节“开发扶贫，生态建设”试验区绿色经济发展“十一五”规划编制研究</w:t>
      </w:r>
    </w:p>
    <w:p>
      <w:r>
        <w:rPr>
          <w:rFonts w:ascii="宋体" w:hAnsi="宋体" w:eastAsia="宋体"/>
          <w:sz w:val="24"/>
        </w:rPr>
        <w:t>高贵龙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贵州毕节“开发扶贫，生态建设”试验区绿色经济发展“十一五”规划编制研究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本书出售、求购地址：https://www.jiaokey.com/book/detail/81235645.html</w:t>
      </w:r>
    </w:p>
    <w:p>
      <w:r>
        <w:t>更多相关图书推荐：https://www.jiaokey.com</w:t>
      </w:r>
    </w:p>
    <w:p>
      <w:r>
        <w:t>高贵龙 其他作品：https://www.jiaokey.com/tag/高贵龙.html</w:t>
      </w:r>
    </w:p>
    <w:p>
      <w:r>
        <w:t>关键词搜索：https://www.jiaokey.com/tag/贵州毕节“开发扶贫，生态建设”试验区绿色经济发展“十一五”规划编制研究.html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