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诗意的权威——《女勇士》中的“讲故事”与自我认同</w:t>
      </w:r>
    </w:p>
    <w:p>
      <w:r>
        <w:rPr>
          <w:rFonts w:ascii="宋体" w:hAnsi="宋体" w:eastAsia="宋体"/>
          <w:sz w:val="24"/>
        </w:rPr>
        <w:t>周晓露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诗意的权威——《女勇士》中的“讲故事”与自我认同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本书出售、求购地址：https://www.jiaokey.com/book/detail/81235606.html</w:t>
      </w:r>
    </w:p>
    <w:p>
      <w:r>
        <w:t>更多相关图书推荐：https://www.jiaokey.com</w:t>
      </w:r>
    </w:p>
    <w:p>
      <w:r>
        <w:t>周晓露 其他作品：https://www.jiaokey.com/tag/周晓露.html</w:t>
      </w:r>
    </w:p>
    <w:p>
      <w:r>
        <w:t>关键词搜索：https://www.jiaokey.com/tag/诗意的权威——《女勇士》中的“讲故事”与自我认同.html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