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欠发达区域开发类型与南贵昆经济区开发模式选择</w:t>
      </w:r>
    </w:p>
    <w:p>
      <w:r>
        <w:rPr>
          <w:rFonts w:ascii="宋体" w:hAnsi="宋体" w:eastAsia="宋体"/>
          <w:sz w:val="24"/>
        </w:rPr>
        <w:t>涂妍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欠发达区域开发类型与南贵昆经济区开发模式选择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本书出售、求购地址：https://www.jiaokey.com/book/detail/81235600.html</w:t>
      </w:r>
    </w:p>
    <w:p>
      <w:r>
        <w:t>更多相关图书推荐：https://www.jiaokey.com</w:t>
      </w:r>
    </w:p>
    <w:p>
      <w:r>
        <w:t>涂妍 其他作品：https://www.jiaokey.com/tag/涂妍.html</w:t>
      </w:r>
    </w:p>
    <w:p>
      <w:r>
        <w:t>关键词搜索：https://www.jiaokey.com/tag/欠发达区域开发类型与南贵昆经济区开发模式选择.html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