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中国社会主义市场经济条件下会计目标的现实选择和中长期预期</w:t>
      </w:r>
    </w:p>
    <w:p>
      <w:r>
        <w:rPr>
          <w:rFonts w:ascii="宋体" w:hAnsi="宋体" w:eastAsia="宋体"/>
          <w:sz w:val="24"/>
        </w:rPr>
        <w:t>冉光圭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中国社会主义市场经济条件下会计目标的现实选择和中长期预期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本书出售、求购地址：https://www.jiaokey.com/book/detail/81235521.html</w:t>
      </w:r>
    </w:p>
    <w:p>
      <w:r>
        <w:t>更多相关图书推荐：https://www.jiaokey.com</w:t>
      </w:r>
    </w:p>
    <w:p>
      <w:r>
        <w:t>冉光圭 其他作品：https://www.jiaokey.com/tag/冉光圭.html</w:t>
      </w:r>
    </w:p>
    <w:p>
      <w:r>
        <w:t>关键词搜索：https://www.jiaokey.com/tag/中国社会主义市场经济条件下会计目标的现实选择和中长期预期.html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