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辩证分析和准确把握贫困地区矛盾运动的特殊性    </w:t>
      </w:r>
    </w:p>
    <w:p>
      <w:r>
        <w:rPr>
          <w:rFonts w:ascii="宋体" w:hAnsi="宋体" w:eastAsia="宋体"/>
          <w:sz w:val="24"/>
        </w:rPr>
        <w:t>苏太恒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辩证分析和准确把握贫困地区矛盾运动的特殊性   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苏太恒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本书出售、求购地址：https://www.jiaokey.com/book/detail/81235036.html</w:t>
      </w:r>
    </w:p>
    <w:p>
      <w:r>
        <w:t>更多相关图书推荐：https://www.jiaokey.com</w:t>
      </w:r>
    </w:p>
    <w:p>
      <w:r>
        <w:t>苏太恒 其他作品：https://www.jiaokey.com/tag/苏太恒.html</w:t>
      </w:r>
    </w:p>
    <w:p>
      <w:r>
        <w:t>关键词搜索：https://www.jiaokey.com/tag/辩证分析和准确把握贫困地区矛盾运动的特殊性   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