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社会主义市场经济条件下的精神文明建设    </w:t>
      </w:r>
    </w:p>
    <w:p>
      <w:r>
        <w:rPr>
          <w:rFonts w:ascii="宋体" w:hAnsi="宋体" w:eastAsia="宋体"/>
          <w:sz w:val="24"/>
        </w:rPr>
        <w:t>韦启光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社会主义市场经济条件下的精神文明建设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韦启光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本书出售、求购地址：https://www.jiaokey.com/book/detail/81235021.html</w:t>
      </w:r>
    </w:p>
    <w:p>
      <w:r>
        <w:t>更多相关图书推荐：https://www.jiaokey.com</w:t>
      </w:r>
    </w:p>
    <w:p>
      <w:r>
        <w:t>韦启光 其他作品：https://www.jiaokey.com/tag/韦启光.html</w:t>
      </w:r>
    </w:p>
    <w:p>
      <w:r>
        <w:t>关键词搜索：https://www.jiaokey.com/tag/社会主义市场经济条件下的精神文明建设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