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对新税制若干问题与矛盾的理性认识——兼论我国税制改革的跨世纪选择    </w:t>
      </w:r>
    </w:p>
    <w:p>
      <w:r>
        <w:rPr>
          <w:rFonts w:ascii="宋体" w:hAnsi="宋体" w:eastAsia="宋体"/>
          <w:sz w:val="24"/>
        </w:rPr>
        <w:t>周挺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对新税制若干问题与矛盾的理性认识——兼论我国税制改革的跨世纪选择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本书出售、求购地址：https://www.jiaokey.com/book/detail/81235017.html</w:t>
      </w:r>
    </w:p>
    <w:p>
      <w:r>
        <w:t>更多相关图书推荐：https://www.jiaokey.com</w:t>
      </w:r>
    </w:p>
    <w:p>
      <w:r>
        <w:t>周挺 其他作品：https://www.jiaokey.com/tag/周挺.html</w:t>
      </w:r>
    </w:p>
    <w:p>
      <w:r>
        <w:t>关键词搜索：https://www.jiaokey.com/tag/对新税制若干问题与矛盾的理性认识——兼论我国税制改革的跨世纪选择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