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我们所处的时代和目前的势态</w:t>
      </w:r>
    </w:p>
    <w:p>
      <w:r>
        <w:rPr>
          <w:rFonts w:ascii="宋体" w:hAnsi="宋体" w:eastAsia="宋体"/>
          <w:sz w:val="24"/>
        </w:rPr>
        <w:t>姜大仁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我们所处的时代和目前的势态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姜大仁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本书出售、求购地址：https://www.jiaokey.com/book/detail/81234903.html</w:t>
      </w:r>
    </w:p>
    <w:p>
      <w:r>
        <w:t>更多相关图书推荐：https://www.jiaokey.com</w:t>
      </w:r>
    </w:p>
    <w:p>
      <w:r>
        <w:t>姜大仁 其他作品：https://www.jiaokey.com/tag/姜大仁.html</w:t>
      </w:r>
    </w:p>
    <w:p>
      <w:r>
        <w:t>关键词搜索：https://www.jiaokey.com/tag/我们所处的时代和目前的势态.html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