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立足优势资源发展支柱产业把贫困地区的经济开发推向新阶段</w:t>
      </w:r>
    </w:p>
    <w:p>
      <w:r>
        <w:rPr>
          <w:rFonts w:ascii="宋体" w:hAnsi="宋体" w:eastAsia="宋体"/>
          <w:sz w:val="24"/>
        </w:rPr>
        <w:t>徐起支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立足优势资源发展支柱产业把贫困地区的经济开发推向新阶段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徐起支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本书出售、求购地址：https://www.jiaokey.com/book/detail/81234876.html</w:t>
      </w:r>
    </w:p>
    <w:p>
      <w:r>
        <w:t>更多相关图书推荐：https://www.jiaokey.com</w:t>
      </w:r>
    </w:p>
    <w:p>
      <w:r>
        <w:t>徐起支 其他作品：https://www.jiaokey.com/tag/徐起支.html</w:t>
      </w:r>
    </w:p>
    <w:p>
      <w:r>
        <w:t>关键词搜索：https://www.jiaokey.com/tag/立足优势资源发展支柱产业把贫困地区的经济开发推向新阶段.html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